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25" w:rsidRPr="00E346CB" w:rsidRDefault="00E346CB" w:rsidP="00E346CB">
      <w:pPr>
        <w:jc w:val="center"/>
        <w:rPr>
          <w:b/>
          <w:caps/>
        </w:rPr>
      </w:pPr>
      <w:r w:rsidRPr="00E346CB">
        <w:rPr>
          <w:b/>
          <w:caps/>
        </w:rPr>
        <w:t>Asset Allocation</w:t>
      </w:r>
    </w:p>
    <w:p w:rsidR="00E346CB" w:rsidRPr="002D3AB3" w:rsidRDefault="00E346CB">
      <w:pPr>
        <w:rPr>
          <w:sz w:val="6"/>
          <w:szCs w:val="6"/>
        </w:rPr>
      </w:pPr>
    </w:p>
    <w:p w:rsidR="00E346CB" w:rsidRPr="00E346CB" w:rsidRDefault="00E346CB" w:rsidP="00E346CB">
      <w:pPr>
        <w:jc w:val="center"/>
        <w:rPr>
          <w:i/>
        </w:rPr>
      </w:pPr>
      <w:r w:rsidRPr="00E346CB">
        <w:rPr>
          <w:i/>
        </w:rPr>
        <w:t>“…most investment professionals recognize that the asset allocation decision must take precedence over the choice of particular stocks.”</w:t>
      </w:r>
      <w:r>
        <w:rPr>
          <w:rStyle w:val="FootnoteReference"/>
          <w:i/>
        </w:rPr>
        <w:footnoteReference w:id="1"/>
      </w:r>
    </w:p>
    <w:p w:rsidR="00E346CB" w:rsidRPr="00DA1A8A" w:rsidRDefault="00E346CB">
      <w:pPr>
        <w:rPr>
          <w:sz w:val="12"/>
          <w:szCs w:val="12"/>
        </w:rPr>
      </w:pPr>
    </w:p>
    <w:p w:rsidR="00E346CB" w:rsidRDefault="00E346CB" w:rsidP="00E346CB">
      <w:pPr>
        <w:jc w:val="both"/>
      </w:pPr>
      <w:r w:rsidRPr="00E346CB">
        <w:rPr>
          <w:b/>
        </w:rPr>
        <w:t>Asset Allocation</w:t>
      </w:r>
      <w:r>
        <w:t xml:space="preserve"> - involves selecting</w:t>
      </w:r>
      <w:r w:rsidRPr="00E346CB">
        <w:t xml:space="preserve"> different asset categories, such as stocks, bonds, and cash</w:t>
      </w:r>
      <w:r>
        <w:t xml:space="preserve"> for a portfolio</w:t>
      </w:r>
      <w:r w:rsidRPr="00E346CB">
        <w:t xml:space="preserve">. </w:t>
      </w:r>
      <w:r>
        <w:t xml:space="preserve">There is no universal asset </w:t>
      </w:r>
      <w:r w:rsidR="00950048">
        <w:t>allocation;</w:t>
      </w:r>
      <w:r>
        <w:t xml:space="preserve"> t</w:t>
      </w:r>
      <w:r w:rsidRPr="00E346CB">
        <w:t xml:space="preserve">he asset allocation that works best for </w:t>
      </w:r>
      <w:r>
        <w:t>any given individual</w:t>
      </w:r>
      <w:r w:rsidRPr="00E346CB">
        <w:t xml:space="preserve"> depend</w:t>
      </w:r>
      <w:r>
        <w:t>s</w:t>
      </w:r>
      <w:r w:rsidRPr="00E346CB">
        <w:t xml:space="preserve"> largely on </w:t>
      </w:r>
      <w:r>
        <w:t>the investor’s</w:t>
      </w:r>
      <w:r w:rsidRPr="00E346CB">
        <w:t xml:space="preserve"> time horizon and ability to tolerate risk.</w:t>
      </w:r>
    </w:p>
    <w:p w:rsidR="00E346CB" w:rsidRDefault="00E346CB" w:rsidP="00E346CB">
      <w:pPr>
        <w:jc w:val="both"/>
      </w:pPr>
    </w:p>
    <w:p w:rsidR="00E346CB" w:rsidRDefault="00E346CB" w:rsidP="00C06EAA">
      <w:pPr>
        <w:ind w:left="720"/>
        <w:jc w:val="both"/>
      </w:pPr>
      <w:r w:rsidRPr="00E346CB">
        <w:rPr>
          <w:b/>
        </w:rPr>
        <w:t>Risk Tolerance</w:t>
      </w:r>
      <w:r>
        <w:t xml:space="preserve"> - the ability and willingness to lose some or all of the original investment in exchange for greater </w:t>
      </w:r>
      <w:r w:rsidRPr="00E346CB">
        <w:rPr>
          <w:i/>
        </w:rPr>
        <w:t>potential</w:t>
      </w:r>
      <w:r>
        <w:t xml:space="preserve"> returns.</w:t>
      </w:r>
      <w:r>
        <w:rPr>
          <w:rStyle w:val="FootnoteReference"/>
        </w:rPr>
        <w:footnoteReference w:id="2"/>
      </w:r>
      <w:r w:rsidR="00FF51AA">
        <w:t xml:space="preserve">  </w:t>
      </w:r>
      <w:r>
        <w:t xml:space="preserve"> </w:t>
      </w:r>
    </w:p>
    <w:p w:rsidR="00E346CB" w:rsidRDefault="00E346CB" w:rsidP="00E346CB">
      <w:pPr>
        <w:jc w:val="both"/>
      </w:pPr>
    </w:p>
    <w:p w:rsidR="00E346CB" w:rsidRDefault="00E346CB" w:rsidP="00C06EAA">
      <w:pPr>
        <w:ind w:left="720"/>
        <w:jc w:val="both"/>
      </w:pPr>
      <w:proofErr w:type="gramStart"/>
      <w:r w:rsidRPr="00E346CB">
        <w:rPr>
          <w:b/>
        </w:rPr>
        <w:t>Time Horizon</w:t>
      </w:r>
      <w:r>
        <w:t xml:space="preserve"> - the expected number of months, years, or decades </w:t>
      </w:r>
      <w:r w:rsidR="00C06EAA">
        <w:t>prior</w:t>
      </w:r>
      <w:r>
        <w:t xml:space="preserve"> to a particular financial goal.</w:t>
      </w:r>
      <w:proofErr w:type="gramEnd"/>
      <w:r>
        <w:t xml:space="preserve"> An investor with a longer time horizon may feel more comfortable taking on a riskier, or more volatile, investment</w:t>
      </w:r>
      <w:r w:rsidR="00C06EAA">
        <w:t>s.</w:t>
      </w:r>
      <w:r w:rsidR="00C06EAA">
        <w:rPr>
          <w:rStyle w:val="FootnoteReference"/>
        </w:rPr>
        <w:footnoteReference w:id="3"/>
      </w:r>
      <w:r>
        <w:t xml:space="preserve"> </w:t>
      </w:r>
    </w:p>
    <w:p w:rsidR="00C06EAA" w:rsidRPr="00DA1A8A" w:rsidRDefault="00C06EAA" w:rsidP="00E346CB">
      <w:pPr>
        <w:jc w:val="both"/>
        <w:rPr>
          <w:sz w:val="12"/>
          <w:szCs w:val="12"/>
        </w:rPr>
      </w:pPr>
    </w:p>
    <w:p w:rsidR="00C06EAA" w:rsidRDefault="00C06EAA" w:rsidP="00E346CB">
      <w:pPr>
        <w:jc w:val="both"/>
      </w:pPr>
      <w:r>
        <w:t>Major asset categories: stocks, bonds, and cash.</w:t>
      </w:r>
      <w:r>
        <w:rPr>
          <w:rStyle w:val="FootnoteReference"/>
        </w:rPr>
        <w:footnoteReference w:id="4"/>
      </w:r>
      <w:r>
        <w:t xml:space="preserve"> O</w:t>
      </w:r>
      <w:r w:rsidRPr="00C06EAA">
        <w:t>ther asset categories</w:t>
      </w:r>
      <w:r>
        <w:t>:</w:t>
      </w:r>
      <w:r w:rsidRPr="00C06EAA">
        <w:t xml:space="preserve"> </w:t>
      </w:r>
      <w:r>
        <w:t>r</w:t>
      </w:r>
      <w:r w:rsidRPr="00C06EAA">
        <w:t>eal estate, precious metals and other commodities, and private equity</w:t>
      </w:r>
      <w:r>
        <w:t>.</w:t>
      </w:r>
    </w:p>
    <w:p w:rsidR="00C06EAA" w:rsidRDefault="00C06EAA" w:rsidP="00E346CB">
      <w:pPr>
        <w:jc w:val="both"/>
      </w:pPr>
    </w:p>
    <w:p w:rsidR="00950048" w:rsidRPr="009344C1" w:rsidRDefault="00950048" w:rsidP="00950048">
      <w:pPr>
        <w:jc w:val="center"/>
        <w:rPr>
          <w:i/>
        </w:rPr>
      </w:pPr>
      <w:r w:rsidRPr="009344C1">
        <w:rPr>
          <w:i/>
        </w:rPr>
        <w:t>“It is often said that stocks let us eat well and bonds let us sleep well,”</w:t>
      </w:r>
      <w:r>
        <w:rPr>
          <w:rStyle w:val="FootnoteReference"/>
          <w:i/>
        </w:rPr>
        <w:footnoteReference w:id="5"/>
      </w:r>
    </w:p>
    <w:p w:rsidR="00950048" w:rsidRPr="002D3AB3" w:rsidRDefault="00950048" w:rsidP="00E346CB">
      <w:pPr>
        <w:jc w:val="both"/>
        <w:rPr>
          <w:sz w:val="6"/>
          <w:szCs w:val="6"/>
        </w:rPr>
      </w:pPr>
    </w:p>
    <w:p w:rsidR="00C06EAA" w:rsidRDefault="00C06EAA" w:rsidP="00C06EAA">
      <w:pPr>
        <w:jc w:val="both"/>
      </w:pPr>
      <w:r w:rsidRPr="00C06EAA">
        <w:rPr>
          <w:b/>
        </w:rPr>
        <w:t>Magic of Diversification</w:t>
      </w:r>
      <w:r>
        <w:t xml:space="preserve"> - spreading money among different investments may limit losses and reduce the fluctuations of investment returns without sacrificing too much potential gain.</w:t>
      </w:r>
      <w:r w:rsidR="00774030">
        <w:t xml:space="preserve">  </w:t>
      </w:r>
    </w:p>
    <w:p w:rsidR="0028630B" w:rsidRDefault="0028630B" w:rsidP="00C06EAA">
      <w:pPr>
        <w:jc w:val="both"/>
      </w:pPr>
    </w:p>
    <w:p w:rsidR="0028630B" w:rsidRDefault="0028630B" w:rsidP="009344C1">
      <w:pPr>
        <w:ind w:left="720"/>
        <w:jc w:val="both"/>
      </w:pPr>
      <w:r w:rsidRPr="0028630B">
        <w:rPr>
          <w:b/>
        </w:rPr>
        <w:t>Firm-specific risk</w:t>
      </w:r>
      <w:r>
        <w:t xml:space="preserve"> – (</w:t>
      </w:r>
      <w:r w:rsidR="00FF51AA">
        <w:t>unique risk; non</w:t>
      </w:r>
      <w:r>
        <w:t>systematic risk; diversifiable risk)</w:t>
      </w:r>
      <w:r w:rsidRPr="0028630B">
        <w:t xml:space="preserve"> </w:t>
      </w:r>
      <w:r w:rsidR="00FF51AA" w:rsidRPr="00FF51AA">
        <w:t>can be protected against through diversification</w:t>
      </w:r>
      <w:r w:rsidR="00FF51AA">
        <w:t xml:space="preserve">, it </w:t>
      </w:r>
      <w:r w:rsidRPr="0028630B">
        <w:t>is tied directly to the performa</w:t>
      </w:r>
      <w:r w:rsidR="00FF51AA">
        <w:t>nce of a particular security such as management style, R&amp;D success, etc.</w:t>
      </w:r>
    </w:p>
    <w:p w:rsidR="00774030" w:rsidRDefault="00774030" w:rsidP="009344C1">
      <w:pPr>
        <w:ind w:left="720"/>
        <w:jc w:val="both"/>
      </w:pPr>
    </w:p>
    <w:p w:rsidR="00774030" w:rsidRDefault="00774030" w:rsidP="009344C1">
      <w:pPr>
        <w:ind w:left="720"/>
        <w:jc w:val="both"/>
      </w:pPr>
      <w:r w:rsidRPr="0028630B">
        <w:rPr>
          <w:b/>
        </w:rPr>
        <w:t>Market Risk</w:t>
      </w:r>
      <w:r w:rsidR="00324025">
        <w:t xml:space="preserve"> – </w:t>
      </w:r>
      <w:r w:rsidR="0028630B">
        <w:t>(systematic risk</w:t>
      </w:r>
      <w:r w:rsidR="009344C1">
        <w:t>; non diversifiable</w:t>
      </w:r>
      <w:r w:rsidR="0028630B">
        <w:t xml:space="preserve">) </w:t>
      </w:r>
      <w:r w:rsidR="009344C1">
        <w:t xml:space="preserve">defines risk factors that affect all securities and </w:t>
      </w:r>
      <w:r w:rsidR="00FF51AA">
        <w:t xml:space="preserve">are common to the whole economy such as business cycles, interest rates, </w:t>
      </w:r>
      <w:r w:rsidR="002D2E72">
        <w:t>energy prices</w:t>
      </w:r>
      <w:r w:rsidR="00FF51AA">
        <w:t xml:space="preserve">, etc. </w:t>
      </w:r>
    </w:p>
    <w:p w:rsidR="00950048" w:rsidRDefault="00950048" w:rsidP="00950048">
      <w:pPr>
        <w:jc w:val="both"/>
      </w:pPr>
      <w:r w:rsidRPr="00950048">
        <w:rPr>
          <w:noProof/>
        </w:rPr>
        <w:drawing>
          <wp:inline distT="0" distB="0" distL="0" distR="0" wp14:anchorId="0B11FA8A" wp14:editId="4BC53A6D">
            <wp:extent cx="4810125" cy="2670236"/>
            <wp:effectExtent l="0" t="0" r="0" b="0"/>
            <wp:docPr id="358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3" t="36402" r="36762" b="14159"/>
                    <a:stretch/>
                  </pic:blipFill>
                  <pic:spPr bwMode="auto">
                    <a:xfrm>
                      <a:off x="0" y="0"/>
                      <a:ext cx="4837700" cy="268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50048" w:rsidRDefault="00950048" w:rsidP="00950048">
      <w:pPr>
        <w:jc w:val="both"/>
      </w:pPr>
      <w:r w:rsidRPr="00950048">
        <w:rPr>
          <w:i/>
        </w:rPr>
        <w:t>Source</w:t>
      </w:r>
      <w:r>
        <w:t xml:space="preserve">: </w:t>
      </w:r>
      <w:r w:rsidRPr="00950048">
        <w:t>https://advisors.vanguard.com/iwe/pdf/FASIPB.pdf</w:t>
      </w:r>
    </w:p>
    <w:p w:rsidR="009344C1" w:rsidRDefault="009344C1" w:rsidP="00C06EAA">
      <w:pPr>
        <w:jc w:val="both"/>
      </w:pPr>
    </w:p>
    <w:p w:rsidR="00420337" w:rsidRDefault="00420337" w:rsidP="00C06EAA">
      <w:pPr>
        <w:jc w:val="both"/>
      </w:pPr>
      <w:r>
        <w:t xml:space="preserve">There is no consensus regarding the optional asset allocation, but many experts recommend higher weightings of stock for individuals with </w:t>
      </w:r>
      <w:r w:rsidR="00950048">
        <w:t xml:space="preserve">higher risk tolerance and </w:t>
      </w:r>
      <w:r>
        <w:t xml:space="preserve">longer horizons.  Below </w:t>
      </w:r>
      <w:r w:rsidR="00950048">
        <w:t>are examples</w:t>
      </w:r>
      <w:r>
        <w:t xml:space="preserve"> of recommended asset allocations.</w:t>
      </w:r>
      <w:r w:rsidR="00D943B0">
        <w:t xml:space="preserve"> </w:t>
      </w:r>
    </w:p>
    <w:p w:rsidR="009344C1" w:rsidRPr="001F4B4E" w:rsidRDefault="00420337" w:rsidP="00C06EAA">
      <w:pPr>
        <w:jc w:val="both"/>
        <w:rPr>
          <w:sz w:val="6"/>
          <w:szCs w:val="6"/>
        </w:rPr>
      </w:pPr>
      <w:r w:rsidRPr="001F4B4E">
        <w:rPr>
          <w:sz w:val="6"/>
          <w:szCs w:val="6"/>
        </w:rPr>
        <w:t xml:space="preserve">  </w:t>
      </w:r>
    </w:p>
    <w:p w:rsidR="00774030" w:rsidRDefault="00420337" w:rsidP="00C06EAA">
      <w:pPr>
        <w:jc w:val="both"/>
      </w:pPr>
      <w:r w:rsidRPr="00420337">
        <w:rPr>
          <w:noProof/>
        </w:rPr>
        <w:drawing>
          <wp:inline distT="0" distB="0" distL="0" distR="0" wp14:anchorId="20920357" wp14:editId="1C96F1FB">
            <wp:extent cx="5619750" cy="2603940"/>
            <wp:effectExtent l="0" t="0" r="0" b="6350"/>
            <wp:docPr id="7171" name="Content Placeholder 5" descr="FC6EF866-9B44-4CEA-88C0-B0DFDE0C7A5E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Content Placeholder 5" descr="FC6EF866-9B44-4CEA-88C0-B0DFDE0C7A5E.png"/>
                    <pic:cNvPicPr>
                      <a:picLocks noGrp="1"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8" t="2" r="1434" b="-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185" cy="261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20337" w:rsidRDefault="00420337" w:rsidP="00C06EAA">
      <w:pPr>
        <w:jc w:val="both"/>
      </w:pPr>
      <w:r w:rsidRPr="00420337">
        <w:rPr>
          <w:i/>
        </w:rPr>
        <w:t>Source</w:t>
      </w:r>
      <w:r>
        <w:t xml:space="preserve">: </w:t>
      </w:r>
      <w:r w:rsidRPr="00420337">
        <w:t>https://guidance.fidelity.com/building-wealth/asset-allocation</w:t>
      </w:r>
    </w:p>
    <w:p w:rsidR="00950048" w:rsidRPr="001F4B4E" w:rsidRDefault="00950048" w:rsidP="00C06EAA">
      <w:pPr>
        <w:jc w:val="both"/>
      </w:pPr>
    </w:p>
    <w:p w:rsidR="00D943B0" w:rsidRDefault="00D943B0" w:rsidP="00C06EAA">
      <w:pPr>
        <w:jc w:val="both"/>
      </w:pPr>
      <w:r>
        <w:t xml:space="preserve">With a </w:t>
      </w:r>
      <w:r w:rsidRPr="002371D3">
        <w:rPr>
          <w:i/>
        </w:rPr>
        <w:t>top-down approach</w:t>
      </w:r>
      <w:r>
        <w:t xml:space="preserve"> to building a portfolio, you first select target weights for various asset classes and then select securities within those asset classes.  One way to achieve diversification is to </w:t>
      </w:r>
      <w:r w:rsidR="002371D3">
        <w:t>select funds (with low expense ratios) that compliment your allocation goals.</w:t>
      </w:r>
    </w:p>
    <w:p w:rsidR="002371D3" w:rsidRPr="002371D3" w:rsidRDefault="002371D3" w:rsidP="00C06EAA">
      <w:pPr>
        <w:jc w:val="both"/>
        <w:rPr>
          <w:sz w:val="12"/>
          <w:szCs w:val="12"/>
        </w:rPr>
      </w:pPr>
    </w:p>
    <w:p w:rsidR="00950048" w:rsidRPr="00950048" w:rsidRDefault="00950048" w:rsidP="00C06EAA">
      <w:pPr>
        <w:jc w:val="both"/>
        <w:rPr>
          <w:i/>
        </w:rPr>
      </w:pPr>
      <w:r w:rsidRPr="00950048">
        <w:rPr>
          <w:i/>
        </w:rPr>
        <w:t>The following example is for informational purposes only and should not be considered investment advice.</w:t>
      </w:r>
    </w:p>
    <w:p w:rsidR="00566231" w:rsidRPr="00566231" w:rsidRDefault="00566231" w:rsidP="00C06EAA">
      <w:pPr>
        <w:jc w:val="both"/>
        <w:rPr>
          <w:sz w:val="6"/>
          <w:szCs w:val="6"/>
        </w:rPr>
      </w:pPr>
    </w:p>
    <w:p w:rsidR="00420337" w:rsidRDefault="00950048" w:rsidP="00C06EAA">
      <w:pPr>
        <w:jc w:val="both"/>
        <w:rPr>
          <w:b/>
        </w:rPr>
      </w:pPr>
      <w:r w:rsidRPr="00950048">
        <w:rPr>
          <w:b/>
        </w:rPr>
        <w:t>Example Portfolio: Goal Retirement in 2050</w:t>
      </w:r>
      <w:r>
        <w:rPr>
          <w:rStyle w:val="FootnoteReference"/>
          <w:b/>
        </w:rPr>
        <w:footnoteReference w:id="6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7038"/>
      </w:tblGrid>
      <w:tr w:rsidR="00566231" w:rsidTr="00B97446">
        <w:tc>
          <w:tcPr>
            <w:tcW w:w="3978" w:type="dxa"/>
          </w:tcPr>
          <w:p w:rsidR="00566231" w:rsidRPr="00566231" w:rsidRDefault="00566231" w:rsidP="00C06EAA">
            <w:pPr>
              <w:jc w:val="both"/>
              <w:rPr>
                <w:b/>
              </w:rPr>
            </w:pPr>
            <w:r w:rsidRPr="00566231">
              <w:rPr>
                <w:b/>
              </w:rPr>
              <w:t>Target Portfolio:</w:t>
            </w:r>
          </w:p>
          <w:p w:rsidR="00566231" w:rsidRPr="00566231" w:rsidRDefault="00566231" w:rsidP="00C06EAA">
            <w:pPr>
              <w:jc w:val="both"/>
            </w:pPr>
            <w:r w:rsidRPr="00566231">
              <w:t xml:space="preserve">U.S. </w:t>
            </w:r>
            <w:r>
              <w:t>Equity</w:t>
            </w:r>
            <w:r w:rsidRPr="00566231">
              <w:t xml:space="preserve"> </w:t>
            </w:r>
            <w:r>
              <w:t xml:space="preserve">             </w:t>
            </w:r>
            <w:r w:rsidRPr="00566231">
              <w:t>55%</w:t>
            </w:r>
          </w:p>
          <w:p w:rsidR="00566231" w:rsidRDefault="00566231" w:rsidP="00C06EAA">
            <w:pPr>
              <w:jc w:val="both"/>
            </w:pPr>
            <w:r w:rsidRPr="00566231">
              <w:t xml:space="preserve">International </w:t>
            </w:r>
            <w:r>
              <w:t>Equity</w:t>
            </w:r>
            <w:r w:rsidRPr="00566231">
              <w:t xml:space="preserve"> 35%</w:t>
            </w:r>
          </w:p>
          <w:p w:rsidR="00566231" w:rsidRDefault="00566231" w:rsidP="00C06EAA">
            <w:pPr>
              <w:jc w:val="both"/>
            </w:pPr>
            <w:r>
              <w:t>Fixed Income           5%</w:t>
            </w:r>
          </w:p>
          <w:p w:rsidR="00566231" w:rsidRDefault="00566231" w:rsidP="00C06EAA">
            <w:pPr>
              <w:jc w:val="both"/>
            </w:pPr>
            <w:r>
              <w:t>Commodities            5%</w:t>
            </w:r>
          </w:p>
          <w:p w:rsidR="00566231" w:rsidRDefault="00566231" w:rsidP="00C06EAA">
            <w:pPr>
              <w:jc w:val="both"/>
              <w:rPr>
                <w:b/>
              </w:rPr>
            </w:pPr>
            <w:r>
              <w:t>Cash                          0%</w:t>
            </w:r>
          </w:p>
        </w:tc>
        <w:tc>
          <w:tcPr>
            <w:tcW w:w="7038" w:type="dxa"/>
          </w:tcPr>
          <w:p w:rsidR="00566231" w:rsidRDefault="00566231" w:rsidP="00C06EAA">
            <w:pPr>
              <w:jc w:val="both"/>
              <w:rPr>
                <w:b/>
              </w:rPr>
            </w:pPr>
            <w:r>
              <w:rPr>
                <w:b/>
              </w:rPr>
              <w:t>Actual Portfolio:</w:t>
            </w:r>
          </w:p>
          <w:p w:rsidR="00566231" w:rsidRDefault="00B97446" w:rsidP="00C06EAA">
            <w:pPr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371398B" wp14:editId="09B967E9">
                  <wp:extent cx="4152900" cy="149358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29166" t="34757" r="34295" b="41881"/>
                          <a:stretch/>
                        </pic:blipFill>
                        <pic:spPr bwMode="auto">
                          <a:xfrm>
                            <a:off x="0" y="0"/>
                            <a:ext cx="4158076" cy="1495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6231" w:rsidRPr="00566231" w:rsidRDefault="00566231" w:rsidP="00C06EAA">
      <w:pPr>
        <w:jc w:val="both"/>
        <w:rPr>
          <w:b/>
          <w:sz w:val="6"/>
          <w:szCs w:val="6"/>
        </w:rPr>
      </w:pPr>
    </w:p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3150"/>
        <w:gridCol w:w="1080"/>
        <w:gridCol w:w="1350"/>
        <w:gridCol w:w="900"/>
      </w:tblGrid>
      <w:tr w:rsidR="00E7218B" w:rsidRPr="0032219A" w:rsidTr="008E717A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861A80" w:rsidRPr="0032219A" w:rsidRDefault="00861A80" w:rsidP="00C06EAA">
            <w:pPr>
              <w:jc w:val="both"/>
              <w:rPr>
                <w:b/>
              </w:rPr>
            </w:pPr>
            <w:r w:rsidRPr="0032219A">
              <w:rPr>
                <w:b/>
              </w:rPr>
              <w:t>Fund Name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861A80" w:rsidRPr="0032219A" w:rsidRDefault="00861A80" w:rsidP="00861A80">
            <w:pPr>
              <w:jc w:val="both"/>
              <w:rPr>
                <w:b/>
              </w:rPr>
            </w:pPr>
            <w:r w:rsidRPr="0032219A">
              <w:rPr>
                <w:b/>
              </w:rPr>
              <w:t>Category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61A80" w:rsidRPr="0032219A" w:rsidRDefault="00861A80" w:rsidP="00861A80">
            <w:pPr>
              <w:jc w:val="both"/>
              <w:rPr>
                <w:b/>
              </w:rPr>
            </w:pPr>
            <w:r w:rsidRPr="0032219A">
              <w:rPr>
                <w:b/>
              </w:rPr>
              <w:t xml:space="preserve">Ticker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861A80" w:rsidRPr="0032219A" w:rsidRDefault="00861A80" w:rsidP="00C06EAA">
            <w:pPr>
              <w:jc w:val="both"/>
              <w:rPr>
                <w:b/>
              </w:rPr>
            </w:pPr>
            <w:r w:rsidRPr="0032219A">
              <w:rPr>
                <w:b/>
              </w:rPr>
              <w:t>Allocation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61A80" w:rsidRPr="0032219A" w:rsidRDefault="00861A80" w:rsidP="008E717A">
            <w:pPr>
              <w:jc w:val="both"/>
              <w:rPr>
                <w:b/>
              </w:rPr>
            </w:pPr>
            <w:r w:rsidRPr="0032219A">
              <w:rPr>
                <w:b/>
              </w:rPr>
              <w:t>Exp</w:t>
            </w:r>
            <w:r w:rsidR="008E717A">
              <w:rPr>
                <w:b/>
              </w:rPr>
              <w:t>.</w:t>
            </w:r>
          </w:p>
        </w:tc>
      </w:tr>
      <w:tr w:rsidR="00E7218B" w:rsidTr="008E717A">
        <w:tc>
          <w:tcPr>
            <w:tcW w:w="4608" w:type="dxa"/>
            <w:tcBorders>
              <w:top w:val="single" w:sz="4" w:space="0" w:color="auto"/>
            </w:tcBorders>
          </w:tcPr>
          <w:p w:rsidR="00861A80" w:rsidRDefault="008E717A" w:rsidP="008E717A">
            <w:pPr>
              <w:jc w:val="both"/>
            </w:pPr>
            <w:r w:rsidRPr="00F56122">
              <w:t xml:space="preserve">Vanguard Small Cap Index </w:t>
            </w:r>
            <w:proofErr w:type="spellStart"/>
            <w:r w:rsidRPr="00F56122">
              <w:t>Inv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861A80" w:rsidRDefault="008E717A" w:rsidP="00C06EAA">
            <w:pPr>
              <w:jc w:val="both"/>
            </w:pPr>
            <w:r>
              <w:t>Small</w:t>
            </w:r>
            <w:r w:rsidR="00E7218B">
              <w:t xml:space="preserve"> Blend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61A80" w:rsidRDefault="008E717A" w:rsidP="00C06EAA">
            <w:pPr>
              <w:jc w:val="both"/>
            </w:pPr>
            <w:r>
              <w:t>NAESX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861A80" w:rsidRDefault="00861A80" w:rsidP="00E54C1C">
            <w:pPr>
              <w:jc w:val="center"/>
            </w:pPr>
            <w:r>
              <w:t>55%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61A80" w:rsidRDefault="00B97446" w:rsidP="00C06EAA">
            <w:pPr>
              <w:jc w:val="both"/>
            </w:pPr>
            <w:r>
              <w:t>0.24</w:t>
            </w:r>
            <w:r w:rsidR="00861A80" w:rsidRPr="00861A80">
              <w:t>%</w:t>
            </w:r>
          </w:p>
        </w:tc>
      </w:tr>
      <w:tr w:rsidR="00E7218B" w:rsidTr="008E717A">
        <w:tc>
          <w:tcPr>
            <w:tcW w:w="4608" w:type="dxa"/>
          </w:tcPr>
          <w:p w:rsidR="00861A80" w:rsidRDefault="00861A80" w:rsidP="00C06EAA">
            <w:pPr>
              <w:jc w:val="both"/>
            </w:pPr>
            <w:r>
              <w:t>Vanguard Total International Stock</w:t>
            </w:r>
            <w:r w:rsidR="005271BD">
              <w:t xml:space="preserve"> ETF</w:t>
            </w:r>
            <w:r w:rsidR="001F4B4E">
              <w:rPr>
                <w:rStyle w:val="FootnoteReference"/>
              </w:rPr>
              <w:footnoteReference w:id="7"/>
            </w:r>
          </w:p>
        </w:tc>
        <w:tc>
          <w:tcPr>
            <w:tcW w:w="3150" w:type="dxa"/>
          </w:tcPr>
          <w:p w:rsidR="00861A80" w:rsidRDefault="00E7218B" w:rsidP="00C06EAA">
            <w:pPr>
              <w:jc w:val="both"/>
            </w:pPr>
            <w:r>
              <w:t>Foreign Large Blend</w:t>
            </w:r>
          </w:p>
        </w:tc>
        <w:tc>
          <w:tcPr>
            <w:tcW w:w="1080" w:type="dxa"/>
          </w:tcPr>
          <w:p w:rsidR="00861A80" w:rsidRDefault="00861A80" w:rsidP="00C06EAA">
            <w:pPr>
              <w:jc w:val="both"/>
            </w:pPr>
            <w:r>
              <w:t>VXUS</w:t>
            </w:r>
          </w:p>
        </w:tc>
        <w:tc>
          <w:tcPr>
            <w:tcW w:w="1350" w:type="dxa"/>
          </w:tcPr>
          <w:p w:rsidR="00861A80" w:rsidRDefault="00861A80" w:rsidP="00E54C1C">
            <w:pPr>
              <w:jc w:val="center"/>
            </w:pPr>
            <w:r>
              <w:t>34%</w:t>
            </w:r>
          </w:p>
        </w:tc>
        <w:tc>
          <w:tcPr>
            <w:tcW w:w="900" w:type="dxa"/>
          </w:tcPr>
          <w:p w:rsidR="00861A80" w:rsidRDefault="00861A80" w:rsidP="00C06EAA">
            <w:pPr>
              <w:jc w:val="both"/>
            </w:pPr>
            <w:r w:rsidRPr="00861A80">
              <w:t>0.16%</w:t>
            </w:r>
          </w:p>
        </w:tc>
      </w:tr>
      <w:tr w:rsidR="00E7218B" w:rsidTr="008E717A">
        <w:tc>
          <w:tcPr>
            <w:tcW w:w="4608" w:type="dxa"/>
          </w:tcPr>
          <w:p w:rsidR="00861A80" w:rsidRDefault="00861A80" w:rsidP="00C06EAA">
            <w:pPr>
              <w:jc w:val="both"/>
            </w:pPr>
            <w:proofErr w:type="spellStart"/>
            <w:r>
              <w:t>iShares</w:t>
            </w:r>
            <w:proofErr w:type="spellEnd"/>
            <w:r>
              <w:t xml:space="preserve"> Barclays Aggregate Bond</w:t>
            </w:r>
            <w:r w:rsidR="00DA1A8A">
              <w:rPr>
                <w:rStyle w:val="FootnoteReference"/>
              </w:rPr>
              <w:footnoteReference w:id="8"/>
            </w:r>
          </w:p>
        </w:tc>
        <w:tc>
          <w:tcPr>
            <w:tcW w:w="3150" w:type="dxa"/>
          </w:tcPr>
          <w:p w:rsidR="00861A80" w:rsidRDefault="00E7218B" w:rsidP="00C06EAA">
            <w:pPr>
              <w:jc w:val="both"/>
            </w:pPr>
            <w:r>
              <w:t>Intermediate Term Bond</w:t>
            </w:r>
          </w:p>
        </w:tc>
        <w:tc>
          <w:tcPr>
            <w:tcW w:w="1080" w:type="dxa"/>
          </w:tcPr>
          <w:p w:rsidR="00861A80" w:rsidRDefault="00861A80" w:rsidP="00C06EAA">
            <w:pPr>
              <w:jc w:val="both"/>
            </w:pPr>
            <w:r>
              <w:t>AGG</w:t>
            </w:r>
          </w:p>
        </w:tc>
        <w:tc>
          <w:tcPr>
            <w:tcW w:w="1350" w:type="dxa"/>
          </w:tcPr>
          <w:p w:rsidR="00861A80" w:rsidRDefault="00861A80" w:rsidP="00E54C1C">
            <w:pPr>
              <w:jc w:val="center"/>
            </w:pPr>
            <w:r>
              <w:t>5%</w:t>
            </w:r>
          </w:p>
        </w:tc>
        <w:tc>
          <w:tcPr>
            <w:tcW w:w="900" w:type="dxa"/>
          </w:tcPr>
          <w:p w:rsidR="00861A80" w:rsidRDefault="00861A80" w:rsidP="00C06EAA">
            <w:pPr>
              <w:jc w:val="both"/>
            </w:pPr>
            <w:r w:rsidRPr="00861A80">
              <w:t>0.08%</w:t>
            </w:r>
          </w:p>
        </w:tc>
      </w:tr>
      <w:tr w:rsidR="00E7218B" w:rsidTr="008E717A">
        <w:tc>
          <w:tcPr>
            <w:tcW w:w="4608" w:type="dxa"/>
          </w:tcPr>
          <w:p w:rsidR="00861A80" w:rsidRDefault="00861A80" w:rsidP="00E54C1C">
            <w:pPr>
              <w:jc w:val="both"/>
            </w:pPr>
            <w:r>
              <w:t>SPDR Barclays Capital Intl Treasury Bonds</w:t>
            </w:r>
            <w:r w:rsidR="00DA1A8A">
              <w:rPr>
                <w:rStyle w:val="FootnoteReference"/>
              </w:rPr>
              <w:footnoteReference w:id="9"/>
            </w:r>
            <w:r>
              <w:t xml:space="preserve"> </w:t>
            </w:r>
          </w:p>
        </w:tc>
        <w:tc>
          <w:tcPr>
            <w:tcW w:w="3150" w:type="dxa"/>
          </w:tcPr>
          <w:p w:rsidR="00861A80" w:rsidRDefault="00E7218B" w:rsidP="00C06EAA">
            <w:pPr>
              <w:jc w:val="both"/>
            </w:pPr>
            <w:r>
              <w:t>World Bond</w:t>
            </w:r>
          </w:p>
        </w:tc>
        <w:tc>
          <w:tcPr>
            <w:tcW w:w="1080" w:type="dxa"/>
          </w:tcPr>
          <w:p w:rsidR="00861A80" w:rsidRDefault="00861A80" w:rsidP="00C06EAA">
            <w:pPr>
              <w:jc w:val="both"/>
            </w:pPr>
            <w:r>
              <w:t>BWX</w:t>
            </w:r>
          </w:p>
        </w:tc>
        <w:tc>
          <w:tcPr>
            <w:tcW w:w="1350" w:type="dxa"/>
          </w:tcPr>
          <w:p w:rsidR="00861A80" w:rsidRDefault="00861A80" w:rsidP="00E54C1C">
            <w:pPr>
              <w:jc w:val="center"/>
            </w:pPr>
            <w:r>
              <w:t>2%</w:t>
            </w:r>
          </w:p>
        </w:tc>
        <w:tc>
          <w:tcPr>
            <w:tcW w:w="900" w:type="dxa"/>
          </w:tcPr>
          <w:p w:rsidR="00861A80" w:rsidRDefault="00861A80" w:rsidP="00C06EAA">
            <w:pPr>
              <w:jc w:val="both"/>
            </w:pPr>
            <w:r w:rsidRPr="00861A80">
              <w:t>0.50%</w:t>
            </w:r>
          </w:p>
        </w:tc>
      </w:tr>
      <w:tr w:rsidR="00E7218B" w:rsidTr="008E717A">
        <w:tc>
          <w:tcPr>
            <w:tcW w:w="4608" w:type="dxa"/>
          </w:tcPr>
          <w:p w:rsidR="00861A80" w:rsidRDefault="00861A80" w:rsidP="00C06EAA">
            <w:pPr>
              <w:jc w:val="both"/>
            </w:pPr>
            <w:proofErr w:type="spellStart"/>
            <w:r>
              <w:t>iShares</w:t>
            </w:r>
            <w:proofErr w:type="spellEnd"/>
            <w:r>
              <w:t xml:space="preserve"> Gold Trust</w:t>
            </w:r>
          </w:p>
        </w:tc>
        <w:tc>
          <w:tcPr>
            <w:tcW w:w="3150" w:type="dxa"/>
          </w:tcPr>
          <w:p w:rsidR="00861A80" w:rsidRDefault="00E7218B" w:rsidP="00C06EAA">
            <w:pPr>
              <w:jc w:val="both"/>
            </w:pPr>
            <w:r>
              <w:t>Commodities Precious Metals</w:t>
            </w:r>
          </w:p>
        </w:tc>
        <w:tc>
          <w:tcPr>
            <w:tcW w:w="1080" w:type="dxa"/>
          </w:tcPr>
          <w:p w:rsidR="00861A80" w:rsidRDefault="00861A80" w:rsidP="00C06EAA">
            <w:pPr>
              <w:jc w:val="both"/>
            </w:pPr>
            <w:r>
              <w:t>IAU</w:t>
            </w:r>
          </w:p>
        </w:tc>
        <w:tc>
          <w:tcPr>
            <w:tcW w:w="1350" w:type="dxa"/>
          </w:tcPr>
          <w:p w:rsidR="00861A80" w:rsidRDefault="00861A80" w:rsidP="00E54C1C">
            <w:pPr>
              <w:jc w:val="center"/>
            </w:pPr>
            <w:r>
              <w:t>4%</w:t>
            </w:r>
          </w:p>
        </w:tc>
        <w:tc>
          <w:tcPr>
            <w:tcW w:w="900" w:type="dxa"/>
          </w:tcPr>
          <w:p w:rsidR="00861A80" w:rsidRDefault="00861A80" w:rsidP="00C06EAA">
            <w:pPr>
              <w:jc w:val="both"/>
            </w:pPr>
            <w:r w:rsidRPr="00861A80">
              <w:t>0.25%</w:t>
            </w:r>
          </w:p>
        </w:tc>
      </w:tr>
      <w:tr w:rsidR="00E7218B" w:rsidTr="008E717A">
        <w:tc>
          <w:tcPr>
            <w:tcW w:w="4608" w:type="dxa"/>
            <w:tcBorders>
              <w:bottom w:val="single" w:sz="4" w:space="0" w:color="auto"/>
            </w:tcBorders>
          </w:tcPr>
          <w:p w:rsidR="00861A80" w:rsidRDefault="00861A80" w:rsidP="00C06EAA">
            <w:pPr>
              <w:jc w:val="both"/>
            </w:pPr>
            <w:proofErr w:type="spellStart"/>
            <w:r>
              <w:t>iShares</w:t>
            </w:r>
            <w:proofErr w:type="spellEnd"/>
            <w:r>
              <w:t xml:space="preserve"> Barclays TIPS Bond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861A80" w:rsidRDefault="00E7218B" w:rsidP="00C06EAA">
            <w:pPr>
              <w:jc w:val="both"/>
            </w:pPr>
            <w:r>
              <w:t>Inflation-Protected Bond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61A80" w:rsidRDefault="00566231" w:rsidP="00C06EAA">
            <w:pPr>
              <w:jc w:val="both"/>
            </w:pPr>
            <w:r>
              <w:t>TIP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861A80" w:rsidRDefault="00861A80" w:rsidP="00E54C1C">
            <w:pPr>
              <w:jc w:val="center"/>
            </w:pPr>
            <w:r>
              <w:t>0%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61A80" w:rsidRDefault="00861A80" w:rsidP="00C06EAA">
            <w:pPr>
              <w:jc w:val="both"/>
            </w:pPr>
            <w:r w:rsidRPr="00861A80">
              <w:t>0.20%</w:t>
            </w:r>
          </w:p>
        </w:tc>
      </w:tr>
    </w:tbl>
    <w:p w:rsidR="00D943B0" w:rsidRDefault="00D943B0" w:rsidP="00B851D6">
      <w:pPr>
        <w:jc w:val="both"/>
      </w:pPr>
      <w:r>
        <w:lastRenderedPageBreak/>
        <w:t xml:space="preserve">A fantastic source for information </w:t>
      </w:r>
      <w:r w:rsidRPr="00D943B0">
        <w:t>on thousands of mutual funds</w:t>
      </w:r>
      <w:r>
        <w:t xml:space="preserve"> and hundreds of exchange traded funds (and even </w:t>
      </w:r>
      <w:r w:rsidRPr="00D943B0">
        <w:t>New York Stock Exchange, American Stock Exchange, and NASDAQ stocks</w:t>
      </w:r>
      <w:r>
        <w:t>)</w:t>
      </w:r>
      <w:r w:rsidRPr="00D943B0">
        <w:t xml:space="preserve"> </w:t>
      </w:r>
      <w:r>
        <w:t>is the Morningstar database available through most university libraries.</w:t>
      </w:r>
      <w:r w:rsidR="00B851D6">
        <w:rPr>
          <w:rStyle w:val="FootnoteReference"/>
        </w:rPr>
        <w:footnoteReference w:id="10"/>
      </w:r>
      <w:r w:rsidR="00B851D6">
        <w:t xml:space="preserve"> </w:t>
      </w:r>
    </w:p>
    <w:p w:rsidR="00D943B0" w:rsidRPr="00B851D6" w:rsidRDefault="00D943B0" w:rsidP="00420337">
      <w:pPr>
        <w:jc w:val="both"/>
        <w:rPr>
          <w:sz w:val="12"/>
          <w:szCs w:val="12"/>
        </w:rPr>
      </w:pPr>
    </w:p>
    <w:p w:rsidR="00FF51AA" w:rsidRDefault="00566231" w:rsidP="00420337">
      <w:pPr>
        <w:jc w:val="both"/>
      </w:pPr>
      <w:r>
        <w:t xml:space="preserve">Once you’ve determined what general allocation you are looking for, you can screen for funds that meet your objectives.  For example in the example portfolio above we select 55% U.S. equity.  Under “Funds” you can select “Fund Category” then “U.S. Equity” there is an option to </w:t>
      </w:r>
      <w:r w:rsidR="00267A1A">
        <w:t>be more specific for example let’s select “</w:t>
      </w:r>
      <w:r w:rsidR="00F56122">
        <w:t>Small</w:t>
      </w:r>
      <w:r w:rsidR="00267A1A">
        <w:t xml:space="preserve"> Blend.”  </w:t>
      </w:r>
      <w:r w:rsidR="00F56122">
        <w:t>698</w:t>
      </w:r>
      <w:r w:rsidR="00267A1A">
        <w:t xml:space="preserve"> funds meet this criteria, let’s now screen for fees.  You can select “Expense Ratio” and then is less than 0.50</w:t>
      </w:r>
      <w:r w:rsidR="00F56122">
        <w:t>.  Now 4</w:t>
      </w:r>
      <w:r w:rsidR="00267A1A">
        <w:t xml:space="preserve">0 funds meet our criteria, we could screen further for a </w:t>
      </w:r>
      <w:r w:rsidR="00F56122">
        <w:t xml:space="preserve">minimum initial purchase of $3000 </w:t>
      </w:r>
      <w:r w:rsidR="00267A1A">
        <w:t xml:space="preserve">and we’ll have </w:t>
      </w:r>
      <w:r w:rsidR="00F56122">
        <w:t>2</w:t>
      </w:r>
      <w:r w:rsidR="008E717A">
        <w:t>6</w:t>
      </w:r>
      <w:r w:rsidR="00267A1A">
        <w:t xml:space="preserve"> funds to cho</w:t>
      </w:r>
      <w:r w:rsidR="00F56122">
        <w:t xml:space="preserve">ose from, one of which is </w:t>
      </w:r>
      <w:r w:rsidR="00F56122" w:rsidRPr="00F56122">
        <w:t xml:space="preserve">Vanguard Small Cap Index </w:t>
      </w:r>
      <w:proofErr w:type="spellStart"/>
      <w:r w:rsidR="00F56122" w:rsidRPr="00F56122">
        <w:t>Inv</w:t>
      </w:r>
      <w:proofErr w:type="spellEnd"/>
      <w:r w:rsidR="00F56122">
        <w:t xml:space="preserve"> (NAESX) which has a Morningstar rating of Gold and an expense ratio of 0.24.</w:t>
      </w:r>
      <w:r w:rsidR="00FF51AA">
        <w:t xml:space="preserve">  </w:t>
      </w:r>
    </w:p>
    <w:p w:rsidR="00FF51AA" w:rsidRPr="00B851D6" w:rsidRDefault="00FF51AA" w:rsidP="00420337">
      <w:pPr>
        <w:jc w:val="both"/>
        <w:rPr>
          <w:sz w:val="12"/>
          <w:szCs w:val="12"/>
        </w:rPr>
      </w:pPr>
    </w:p>
    <w:p w:rsidR="00CA5BAB" w:rsidRDefault="00FF51AA" w:rsidP="00CA5BAB">
      <w:pPr>
        <w:jc w:val="both"/>
      </w:pPr>
      <w:r w:rsidRPr="00FF51AA">
        <w:rPr>
          <w:i/>
        </w:rPr>
        <w:t>Note</w:t>
      </w:r>
      <w:r>
        <w:t xml:space="preserve">: Morningstar covers both passive funds (e.g.  </w:t>
      </w:r>
      <w:proofErr w:type="gramStart"/>
      <w:r>
        <w:t>index</w:t>
      </w:r>
      <w:proofErr w:type="gramEnd"/>
      <w:r>
        <w:t xml:space="preserve"> funds</w:t>
      </w:r>
      <w:r w:rsidR="001F4B4E">
        <w:rPr>
          <w:rStyle w:val="FootnoteReference"/>
        </w:rPr>
        <w:footnoteReference w:id="11"/>
      </w:r>
      <w:r w:rsidR="001F4B4E">
        <w:t xml:space="preserve"> and ETFs</w:t>
      </w:r>
      <w:r>
        <w:t>) and active funds (e.g. mutual funds).</w:t>
      </w:r>
      <w:r w:rsidR="001F4B4E">
        <w:t xml:space="preserve">  </w:t>
      </w:r>
    </w:p>
    <w:p w:rsidR="005271BD" w:rsidRDefault="005271BD" w:rsidP="00CA5BAB">
      <w:pPr>
        <w:jc w:val="both"/>
      </w:pPr>
    </w:p>
    <w:p w:rsidR="005271BD" w:rsidRPr="001F4B4E" w:rsidRDefault="005271BD" w:rsidP="00CA5BAB">
      <w:pPr>
        <w:jc w:val="both"/>
        <w:rPr>
          <w:b/>
        </w:rPr>
      </w:pPr>
      <w:r w:rsidRPr="001F4B4E">
        <w:rPr>
          <w:b/>
        </w:rPr>
        <w:t>Active vs. Passive Management</w:t>
      </w:r>
    </w:p>
    <w:p w:rsidR="005271BD" w:rsidRDefault="005271BD" w:rsidP="00CA5BAB">
      <w:pPr>
        <w:jc w:val="both"/>
      </w:pPr>
      <w:r>
        <w:t>With the Vanguard Small Cap Index fund, the expense ratio is low, but “</w:t>
      </w:r>
      <w:r w:rsidRPr="005271BD">
        <w:t>No passive small-cap index is perfect, as there are no financial health screens to prevent distressed firms from entering the mix</w:t>
      </w:r>
      <w:r>
        <w:t>.”</w:t>
      </w:r>
      <w:r>
        <w:rPr>
          <w:rStyle w:val="FootnoteReference"/>
        </w:rPr>
        <w:footnoteReference w:id="12"/>
      </w:r>
      <w:r w:rsidR="001F4B4E">
        <w:t xml:space="preserve">  In addition, no one is hedging the currency exposure of my International Stock ETF (Symbol: VXUS).  “</w:t>
      </w:r>
      <w:r w:rsidR="001F4B4E" w:rsidRPr="001F4B4E">
        <w:t>During periods of high volatility in the global markets, the U.S. dollar tends to rise, which would weigh on the short-term returns of this fund</w:t>
      </w:r>
      <w:r w:rsidR="001F4B4E">
        <w:t>.”</w:t>
      </w:r>
      <w:r w:rsidR="001F4B4E">
        <w:rPr>
          <w:rStyle w:val="FootnoteReference"/>
        </w:rPr>
        <w:footnoteReference w:id="13"/>
      </w:r>
      <w:r w:rsidR="001F4B4E">
        <w:t xml:space="preserve">  </w:t>
      </w:r>
      <w:r w:rsidR="009F05BC">
        <w:t>In general these inefficiencies may be insignificant, for example, “</w:t>
      </w:r>
      <w:r w:rsidR="009F05BC" w:rsidRPr="009F05BC">
        <w:t>over the long term, currency volatility comprises only a small portion of the total risk of an international equity portfolio</w:t>
      </w:r>
      <w:r w:rsidR="009F05BC">
        <w:t>.”</w:t>
      </w:r>
      <w:r w:rsidR="001619CE" w:rsidRPr="001619CE">
        <w:rPr>
          <w:rStyle w:val="FootnoteReference"/>
        </w:rPr>
        <w:t xml:space="preserve"> </w:t>
      </w:r>
      <w:r w:rsidR="001619CE">
        <w:rPr>
          <w:rStyle w:val="FootnoteReference"/>
        </w:rPr>
        <w:footnoteReference w:id="14"/>
      </w:r>
      <w:r w:rsidR="009F05BC">
        <w:t xml:space="preserve"> So perhaps the </w:t>
      </w:r>
      <w:proofErr w:type="gramStart"/>
      <w:r w:rsidR="009F05BC">
        <w:t>benefits of low fees outweighs</w:t>
      </w:r>
      <w:proofErr w:type="gramEnd"/>
      <w:r w:rsidR="009F05BC">
        <w:t xml:space="preserve"> the costs that would be required to implement a more active strategy.</w:t>
      </w:r>
    </w:p>
    <w:p w:rsidR="001F4B4E" w:rsidRDefault="001F4B4E" w:rsidP="00CA5BAB">
      <w:pPr>
        <w:jc w:val="both"/>
      </w:pPr>
    </w:p>
    <w:p w:rsidR="001F4B4E" w:rsidRDefault="001F4B4E" w:rsidP="00C3225D">
      <w:pPr>
        <w:ind w:left="720"/>
        <w:jc w:val="both"/>
      </w:pPr>
      <w:proofErr w:type="gramStart"/>
      <w:r w:rsidRPr="001F4B4E">
        <w:rPr>
          <w:b/>
        </w:rPr>
        <w:t>Passive investment strategy</w:t>
      </w:r>
      <w:r>
        <w:t xml:space="preserve"> </w:t>
      </w:r>
      <w:r w:rsidR="00C3225D">
        <w:t>–</w:t>
      </w:r>
      <w:r>
        <w:t xml:space="preserve"> </w:t>
      </w:r>
      <w:r w:rsidR="00C3225D">
        <w:t>Buy</w:t>
      </w:r>
      <w:r w:rsidR="009F05BC">
        <w:t>ing (and holding)</w:t>
      </w:r>
      <w:r w:rsidR="00C3225D">
        <w:t xml:space="preserve"> a</w:t>
      </w:r>
      <w:r>
        <w:t xml:space="preserve"> well-diversified portfolio without attempting to find mispriced securities</w:t>
      </w:r>
      <w:r>
        <w:t>.</w:t>
      </w:r>
      <w:proofErr w:type="gramEnd"/>
      <w:r>
        <w:rPr>
          <w:rStyle w:val="FootnoteReference"/>
        </w:rPr>
        <w:footnoteReference w:id="15"/>
      </w:r>
    </w:p>
    <w:p w:rsidR="001F4B4E" w:rsidRDefault="001F4B4E" w:rsidP="00C3225D">
      <w:pPr>
        <w:ind w:left="720"/>
        <w:jc w:val="both"/>
      </w:pPr>
    </w:p>
    <w:p w:rsidR="001F4B4E" w:rsidRDefault="00C3225D" w:rsidP="00C3225D">
      <w:pPr>
        <w:ind w:left="720"/>
        <w:jc w:val="both"/>
      </w:pPr>
      <w:r w:rsidRPr="00C3225D">
        <w:rPr>
          <w:b/>
        </w:rPr>
        <w:t>Active investment strategy</w:t>
      </w:r>
      <w:r>
        <w:t xml:space="preserve"> – attempts to achieve returns higher than commensurate with risk by forecasting broad markets and/or by identifying mispriced securities.</w:t>
      </w:r>
      <w:r>
        <w:rPr>
          <w:rStyle w:val="FootnoteReference"/>
        </w:rPr>
        <w:footnoteReference w:id="16"/>
      </w:r>
    </w:p>
    <w:p w:rsidR="001F4B4E" w:rsidRDefault="001F4B4E" w:rsidP="001F4B4E">
      <w:pPr>
        <w:jc w:val="both"/>
      </w:pPr>
    </w:p>
    <w:p w:rsidR="001F4B4E" w:rsidRDefault="00C3225D" w:rsidP="001F4B4E">
      <w:pPr>
        <w:jc w:val="both"/>
      </w:pPr>
      <w:r>
        <w:t>Primary arguments for active portfolio management:</w:t>
      </w:r>
    </w:p>
    <w:p w:rsidR="00C3225D" w:rsidRDefault="00C3225D" w:rsidP="00C3225D">
      <w:pPr>
        <w:pStyle w:val="ListParagraph"/>
        <w:numPr>
          <w:ilvl w:val="0"/>
          <w:numId w:val="1"/>
        </w:numPr>
        <w:jc w:val="both"/>
      </w:pPr>
      <w:r w:rsidRPr="009F05BC">
        <w:rPr>
          <w:i/>
        </w:rPr>
        <w:t>Tax considerations</w:t>
      </w:r>
      <w:r>
        <w:t xml:space="preserve"> – high tax bracket investors may prefer tax-exempt municipal bonds and may tilt their portfolios to capital gains</w:t>
      </w:r>
      <w:r w:rsidR="009F05BC">
        <w:t xml:space="preserve"> and investment opportunities where returns are sensitive to tax benefits</w:t>
      </w:r>
      <w:r>
        <w:t>.</w:t>
      </w:r>
      <w:r>
        <w:rPr>
          <w:rStyle w:val="FootnoteReference"/>
        </w:rPr>
        <w:footnoteReference w:id="17"/>
      </w:r>
    </w:p>
    <w:p w:rsidR="009F05BC" w:rsidRDefault="009F05BC" w:rsidP="00C3225D">
      <w:pPr>
        <w:pStyle w:val="ListParagraph"/>
        <w:numPr>
          <w:ilvl w:val="0"/>
          <w:numId w:val="1"/>
        </w:numPr>
        <w:jc w:val="both"/>
      </w:pPr>
      <w:r>
        <w:rPr>
          <w:i/>
        </w:rPr>
        <w:t xml:space="preserve">Investor profile </w:t>
      </w:r>
      <w:r>
        <w:t xml:space="preserve">– </w:t>
      </w:r>
      <w:r w:rsidR="002A2963">
        <w:t xml:space="preserve">(employment, age, wealth) </w:t>
      </w:r>
      <w:r>
        <w:t>a Toyota executive whose annual bonus is tied to Toyota’s profits should not invest additional money in auto stocks.  Older investors may prefer “capital preservation” strategies.</w:t>
      </w:r>
    </w:p>
    <w:p w:rsidR="00C3225D" w:rsidRPr="002A2963" w:rsidRDefault="00C3225D" w:rsidP="001F4B4E">
      <w:pPr>
        <w:jc w:val="both"/>
        <w:rPr>
          <w:sz w:val="12"/>
          <w:szCs w:val="12"/>
        </w:rPr>
      </w:pPr>
    </w:p>
    <w:p w:rsidR="00893A40" w:rsidRPr="000714C9" w:rsidRDefault="00893A40" w:rsidP="000714C9">
      <w:pPr>
        <w:jc w:val="center"/>
        <w:rPr>
          <w:i/>
        </w:rPr>
      </w:pPr>
      <w:r w:rsidRPr="00893A40">
        <w:rPr>
          <w:i/>
        </w:rPr>
        <w:t>“There is a role for portfolio management even in an efficient market.  Investors’ optimal positions will vary according to factors such as age, tax bracket, risk aversion, and employment</w:t>
      </w:r>
      <w:r w:rsidR="000714C9">
        <w:rPr>
          <w:i/>
        </w:rPr>
        <w:t>…</w:t>
      </w:r>
      <w:r w:rsidRPr="00893A40">
        <w:rPr>
          <w:i/>
        </w:rPr>
        <w:t>.</w:t>
      </w:r>
      <w:r w:rsidR="000714C9">
        <w:rPr>
          <w:i/>
        </w:rPr>
        <w:t xml:space="preserve"> [But] the risk adjusted performance of professional managers is mixed at best… [</w:t>
      </w:r>
      <w:proofErr w:type="gramStart"/>
      <w:r w:rsidR="000714C9">
        <w:rPr>
          <w:i/>
        </w:rPr>
        <w:t>and</w:t>
      </w:r>
      <w:proofErr w:type="gramEnd"/>
      <w:r w:rsidR="000714C9">
        <w:rPr>
          <w:i/>
        </w:rPr>
        <w:t>] is broadly consistent with market efficiency.</w:t>
      </w:r>
      <w:r w:rsidRPr="00893A40">
        <w:rPr>
          <w:i/>
        </w:rPr>
        <w:t>”</w:t>
      </w:r>
      <w:r>
        <w:rPr>
          <w:rStyle w:val="FootnoteReference"/>
          <w:i/>
        </w:rPr>
        <w:footnoteReference w:id="18"/>
      </w:r>
    </w:p>
    <w:sectPr w:rsidR="00893A40" w:rsidRPr="000714C9" w:rsidSect="00420337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23" w:rsidRDefault="00D11123" w:rsidP="00E346CB">
      <w:r>
        <w:separator/>
      </w:r>
    </w:p>
  </w:endnote>
  <w:endnote w:type="continuationSeparator" w:id="0">
    <w:p w:rsidR="00D11123" w:rsidRDefault="00D11123" w:rsidP="00E3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407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71D3" w:rsidRDefault="002371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4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71D3" w:rsidRDefault="002371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23" w:rsidRDefault="00D11123" w:rsidP="00E346CB">
      <w:r>
        <w:separator/>
      </w:r>
    </w:p>
  </w:footnote>
  <w:footnote w:type="continuationSeparator" w:id="0">
    <w:p w:rsidR="00D11123" w:rsidRDefault="00D11123" w:rsidP="00E346CB">
      <w:r>
        <w:continuationSeparator/>
      </w:r>
    </w:p>
  </w:footnote>
  <w:footnote w:id="1">
    <w:p w:rsidR="002371D3" w:rsidRDefault="002371D3">
      <w:pPr>
        <w:pStyle w:val="FootnoteText"/>
      </w:pPr>
      <w:r>
        <w:rPr>
          <w:rStyle w:val="FootnoteReference"/>
        </w:rPr>
        <w:footnoteRef/>
      </w:r>
      <w:r>
        <w:t xml:space="preserve"> Source: </w:t>
      </w:r>
      <w:r w:rsidRPr="00E346CB">
        <w:rPr>
          <w:u w:val="single"/>
        </w:rPr>
        <w:t>Essentials of Investments</w:t>
      </w:r>
      <w:r>
        <w:t>, 9</w:t>
      </w:r>
      <w:r w:rsidRPr="00E346CB">
        <w:rPr>
          <w:vertAlign w:val="superscript"/>
        </w:rPr>
        <w:t>th</w:t>
      </w:r>
      <w:r>
        <w:t xml:space="preserve"> edition by </w:t>
      </w:r>
      <w:proofErr w:type="spellStart"/>
      <w:r w:rsidRPr="00E346CB">
        <w:t>Zvi</w:t>
      </w:r>
      <w:proofErr w:type="spellEnd"/>
      <w:r w:rsidRPr="00E346CB">
        <w:t xml:space="preserve"> </w:t>
      </w:r>
      <w:proofErr w:type="spellStart"/>
      <w:r w:rsidRPr="00E346CB">
        <w:t>Bodie</w:t>
      </w:r>
      <w:proofErr w:type="spellEnd"/>
      <w:r>
        <w:t>, Alex Kane, and Alan J. Marcus, Chapter 6 p. 50.</w:t>
      </w:r>
    </w:p>
  </w:footnote>
  <w:footnote w:id="2">
    <w:p w:rsidR="002371D3" w:rsidRDefault="002371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346CB">
        <w:t>See “Expected Utility and Risk Aversion” av</w:t>
      </w:r>
      <w:r>
        <w:t>ailable at: www.wendyjeffus.com</w:t>
      </w:r>
    </w:p>
  </w:footnote>
  <w:footnote w:id="3">
    <w:p w:rsidR="002371D3" w:rsidRDefault="002371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6EAA">
        <w:t>http://www.sec.gov/investor/pubs/assetallocation.htm</w:t>
      </w:r>
    </w:p>
  </w:footnote>
  <w:footnote w:id="4">
    <w:p w:rsidR="002371D3" w:rsidRDefault="002371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6EAA">
        <w:t>Cash and cash equivalents - such as savings deposits, certificates of deposit, treasury bills, money market deposit accounts, and money market funds</w:t>
      </w:r>
      <w:r>
        <w:t>.</w:t>
      </w:r>
    </w:p>
  </w:footnote>
  <w:footnote w:id="5">
    <w:p w:rsidR="002371D3" w:rsidRDefault="002371D3" w:rsidP="009500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0" w:name="_GoBack"/>
      <w:r>
        <w:t xml:space="preserve">Quoted from </w:t>
      </w:r>
      <w:r w:rsidRPr="009344C1">
        <w:t>Taylor</w:t>
      </w:r>
      <w:r>
        <w:t xml:space="preserve"> </w:t>
      </w:r>
      <w:r w:rsidRPr="009344C1">
        <w:t>Larimore</w:t>
      </w:r>
      <w:r>
        <w:t xml:space="preserve"> in “A Portfolio That's as Simple as One, Two, Three” </w:t>
      </w:r>
      <w:r w:rsidRPr="00DA1A8A">
        <w:rPr>
          <w:i/>
        </w:rPr>
        <w:t xml:space="preserve">Wall Street </w:t>
      </w:r>
      <w:proofErr w:type="gramStart"/>
      <w:r w:rsidRPr="00DA1A8A">
        <w:rPr>
          <w:i/>
        </w:rPr>
        <w:t>Journal</w:t>
      </w:r>
      <w:r>
        <w:t xml:space="preserve">  </w:t>
      </w:r>
      <w:r w:rsidRPr="009344C1">
        <w:t>July</w:t>
      </w:r>
      <w:proofErr w:type="gramEnd"/>
      <w:r w:rsidRPr="009344C1">
        <w:t xml:space="preserve"> 7, 2013</w:t>
      </w:r>
      <w:bookmarkEnd w:id="0"/>
      <w:r>
        <w:t xml:space="preserve">. </w:t>
      </w:r>
    </w:p>
  </w:footnote>
  <w:footnote w:id="6">
    <w:p w:rsidR="002371D3" w:rsidRDefault="002371D3">
      <w:pPr>
        <w:pStyle w:val="FootnoteText"/>
      </w:pPr>
      <w:r>
        <w:rPr>
          <w:rStyle w:val="FootnoteReference"/>
        </w:rPr>
        <w:footnoteRef/>
      </w:r>
      <w:r>
        <w:t xml:space="preserve"> Based on </w:t>
      </w:r>
      <w:r w:rsidRPr="00950048">
        <w:t>Based on Morningstar Asset Allocation Indexes</w:t>
      </w:r>
      <w:r>
        <w:t xml:space="preserve"> See </w:t>
      </w:r>
      <w:r w:rsidRPr="00950048">
        <w:t>morningstarvideo.edgesuite.net/player/moneysmart.html</w:t>
      </w:r>
    </w:p>
  </w:footnote>
  <w:footnote w:id="7">
    <w:p w:rsidR="001F4B4E" w:rsidRDefault="001F4B4E" w:rsidP="001F4B4E">
      <w:pPr>
        <w:pStyle w:val="FootnoteText"/>
      </w:pPr>
      <w:r>
        <w:rPr>
          <w:rStyle w:val="FootnoteReference"/>
        </w:rPr>
        <w:footnoteRef/>
      </w:r>
      <w:r>
        <w:t xml:space="preserve"> Exchange Traded Funds (ETFs) are funds that track indexes like the NASDAQ-100 Index, S&amp;P 500, Dow Jones, etc. ETFs don't try to outperform their corresponding index, but only replicate its performance. See: http://www.nasdaq.com/investing/etfs/what-are-ETFs.aspx#ixzz2hXacLubt</w:t>
      </w:r>
    </w:p>
  </w:footnote>
  <w:footnote w:id="8">
    <w:p w:rsidR="002371D3" w:rsidRDefault="002371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DA1A8A">
        <w:t>iShares</w:t>
      </w:r>
      <w:proofErr w:type="spellEnd"/>
      <w:proofErr w:type="gramEnd"/>
      <w:r w:rsidRPr="00DA1A8A">
        <w:t xml:space="preserve"> are a family of exchange-traded funds (ETFs) managed by </w:t>
      </w:r>
      <w:proofErr w:type="spellStart"/>
      <w:r w:rsidRPr="00DA1A8A">
        <w:t>BlackRock</w:t>
      </w:r>
      <w:proofErr w:type="spellEnd"/>
      <w:r>
        <w:t>.</w:t>
      </w:r>
    </w:p>
  </w:footnote>
  <w:footnote w:id="9">
    <w:p w:rsidR="002371D3" w:rsidRDefault="002371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A1A8A">
        <w:t>SPDR funds are a family of exchange-traded funds (ETFs) traded in the United States</w:t>
      </w:r>
      <w:r>
        <w:t>.</w:t>
      </w:r>
    </w:p>
  </w:footnote>
  <w:footnote w:id="10">
    <w:p w:rsidR="00B851D6" w:rsidRDefault="00B851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851D6">
        <w:t>Another great source is FINRA’s (Financial Industry Regulatory Authority) website:  apps.finra.org/</w:t>
      </w:r>
      <w:proofErr w:type="spellStart"/>
      <w:r w:rsidRPr="00B851D6">
        <w:t>fundanalyzer</w:t>
      </w:r>
      <w:proofErr w:type="spellEnd"/>
      <w:r w:rsidRPr="00B851D6">
        <w:t>/1/</w:t>
      </w:r>
      <w:r>
        <w:t>fa.aspx</w:t>
      </w:r>
    </w:p>
  </w:footnote>
  <w:footnote w:id="11">
    <w:p w:rsidR="001F4B4E" w:rsidRDefault="001F4B4E">
      <w:pPr>
        <w:pStyle w:val="FootnoteText"/>
      </w:pPr>
      <w:r>
        <w:rPr>
          <w:rStyle w:val="FootnoteReference"/>
        </w:rPr>
        <w:footnoteRef/>
      </w:r>
      <w:r>
        <w:t xml:space="preserve"> An index fund is a m</w:t>
      </w:r>
      <w:r w:rsidRPr="001F4B4E">
        <w:t xml:space="preserve">utual fund which holds shares in proportion to </w:t>
      </w:r>
      <w:r>
        <w:t>their representation in a market index such as the S&amp;P 500.</w:t>
      </w:r>
    </w:p>
  </w:footnote>
  <w:footnote w:id="12">
    <w:p w:rsidR="005271BD" w:rsidRDefault="005271BD" w:rsidP="005271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Quoted from Morningstar Analyst Report NAESX dated Nov. 13, 2012 by Michael Rawson, CFA.</w:t>
      </w:r>
      <w:proofErr w:type="gramEnd"/>
    </w:p>
  </w:footnote>
  <w:footnote w:id="13">
    <w:p w:rsidR="001F4B4E" w:rsidRDefault="001F4B4E" w:rsidP="001F4B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Quoted from Morningstar Analyst Report VXUS dated June 27, 2013 by Patricia </w:t>
      </w:r>
      <w:proofErr w:type="spellStart"/>
      <w:r>
        <w:t>Oey</w:t>
      </w:r>
      <w:proofErr w:type="spellEnd"/>
      <w:r>
        <w:t>.</w:t>
      </w:r>
      <w:proofErr w:type="gramEnd"/>
    </w:p>
  </w:footnote>
  <w:footnote w:id="14">
    <w:p w:rsidR="001619CE" w:rsidRDefault="001619CE" w:rsidP="001619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Quoted from Morningstar Analyst Report VXUS dated June 27, 2013 by Patricia </w:t>
      </w:r>
      <w:proofErr w:type="spellStart"/>
      <w:r>
        <w:t>Oey</w:t>
      </w:r>
      <w:proofErr w:type="spellEnd"/>
      <w:r>
        <w:t>.</w:t>
      </w:r>
      <w:proofErr w:type="gramEnd"/>
    </w:p>
  </w:footnote>
  <w:footnote w:id="15">
    <w:p w:rsidR="001F4B4E" w:rsidRDefault="001F4B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Source: </w:t>
      </w:r>
      <w:r w:rsidRPr="00E346CB">
        <w:rPr>
          <w:u w:val="single"/>
        </w:rPr>
        <w:t>Essentials of Investments</w:t>
      </w:r>
      <w:r>
        <w:t>, 9</w:t>
      </w:r>
      <w:r w:rsidRPr="00E346CB">
        <w:rPr>
          <w:vertAlign w:val="superscript"/>
        </w:rPr>
        <w:t>th</w:t>
      </w:r>
      <w:r>
        <w:t xml:space="preserve"> edition by </w:t>
      </w:r>
      <w:proofErr w:type="spellStart"/>
      <w:r w:rsidRPr="00E346CB">
        <w:t>Zvi</w:t>
      </w:r>
      <w:proofErr w:type="spellEnd"/>
      <w:r w:rsidRPr="00E346CB">
        <w:t xml:space="preserve"> </w:t>
      </w:r>
      <w:proofErr w:type="spellStart"/>
      <w:r w:rsidRPr="00E346CB">
        <w:t>Bodie</w:t>
      </w:r>
      <w:proofErr w:type="spellEnd"/>
      <w:r>
        <w:t xml:space="preserve">, Alex Kane, and Alan J. Marcus, Chapter </w:t>
      </w:r>
      <w:r>
        <w:t>8</w:t>
      </w:r>
      <w:r>
        <w:t xml:space="preserve"> p. </w:t>
      </w:r>
      <w:r w:rsidR="00C3225D">
        <w:t>241</w:t>
      </w:r>
      <w:r>
        <w:t>.</w:t>
      </w:r>
    </w:p>
  </w:footnote>
  <w:footnote w:id="16">
    <w:p w:rsidR="00C3225D" w:rsidRDefault="00C322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Source: </w:t>
      </w:r>
      <w:r w:rsidRPr="00E346CB">
        <w:rPr>
          <w:u w:val="single"/>
        </w:rPr>
        <w:t>Essentials of Investments</w:t>
      </w:r>
      <w:r>
        <w:t>, 9</w:t>
      </w:r>
      <w:r w:rsidRPr="00E346CB">
        <w:rPr>
          <w:vertAlign w:val="superscript"/>
        </w:rPr>
        <w:t>th</w:t>
      </w:r>
      <w:r>
        <w:t xml:space="preserve"> edition by </w:t>
      </w:r>
      <w:proofErr w:type="spellStart"/>
      <w:r w:rsidRPr="00E346CB">
        <w:t>Zvi</w:t>
      </w:r>
      <w:proofErr w:type="spellEnd"/>
      <w:r w:rsidRPr="00E346CB">
        <w:t xml:space="preserve"> </w:t>
      </w:r>
      <w:proofErr w:type="spellStart"/>
      <w:r w:rsidRPr="00E346CB">
        <w:t>Bodie</w:t>
      </w:r>
      <w:proofErr w:type="spellEnd"/>
      <w:r>
        <w:t xml:space="preserve">, Alex Kane, and Alan J. Marcus, Chapter </w:t>
      </w:r>
      <w:r>
        <w:t>1</w:t>
      </w:r>
      <w:r>
        <w:t xml:space="preserve">8 p. </w:t>
      </w:r>
      <w:r>
        <w:t>597</w:t>
      </w:r>
      <w:r>
        <w:t>.</w:t>
      </w:r>
    </w:p>
  </w:footnote>
  <w:footnote w:id="17">
    <w:p w:rsidR="00C3225D" w:rsidRDefault="00C3225D">
      <w:pPr>
        <w:pStyle w:val="FootnoteText"/>
      </w:pPr>
      <w:r>
        <w:rPr>
          <w:rStyle w:val="FootnoteReference"/>
        </w:rPr>
        <w:footnoteRef/>
      </w:r>
      <w:r>
        <w:t xml:space="preserve"> The current capital gains tax rate is </w:t>
      </w:r>
      <w:r w:rsidR="009F05BC">
        <w:t xml:space="preserve">15% (2012) while the highest ordinary income tax rate is 35%.  </w:t>
      </w:r>
      <w:r w:rsidR="009F05BC" w:rsidRPr="009F05BC">
        <w:t xml:space="preserve">See http://taxes.about.com/od/Federal-Income-Taxes/qt/Tax-Rates-For-The-2012-Tax-Year.htm for additional detail including </w:t>
      </w:r>
      <w:proofErr w:type="gramStart"/>
      <w:r w:rsidR="009F05BC" w:rsidRPr="009F05BC">
        <w:t>Married</w:t>
      </w:r>
      <w:proofErr w:type="gramEnd"/>
      <w:r w:rsidR="009F05BC" w:rsidRPr="009F05BC">
        <w:t xml:space="preserve"> filing separately, and head of household.</w:t>
      </w:r>
    </w:p>
  </w:footnote>
  <w:footnote w:id="18">
    <w:p w:rsidR="00893A40" w:rsidRDefault="00893A40">
      <w:pPr>
        <w:pStyle w:val="FootnoteText"/>
      </w:pPr>
      <w:r>
        <w:rPr>
          <w:rStyle w:val="FootnoteReference"/>
        </w:rPr>
        <w:footnoteRef/>
      </w:r>
      <w:r>
        <w:t xml:space="preserve"> Source: </w:t>
      </w:r>
      <w:r w:rsidRPr="00E346CB">
        <w:rPr>
          <w:u w:val="single"/>
        </w:rPr>
        <w:t>Essentials of Investments</w:t>
      </w:r>
      <w:r>
        <w:t>, 9</w:t>
      </w:r>
      <w:r w:rsidRPr="00E346CB">
        <w:rPr>
          <w:vertAlign w:val="superscript"/>
        </w:rPr>
        <w:t>th</w:t>
      </w:r>
      <w:r>
        <w:t xml:space="preserve"> edition by </w:t>
      </w:r>
      <w:proofErr w:type="spellStart"/>
      <w:r w:rsidRPr="00E346CB">
        <w:t>Zvi</w:t>
      </w:r>
      <w:proofErr w:type="spellEnd"/>
      <w:r w:rsidRPr="00E346CB">
        <w:t xml:space="preserve"> </w:t>
      </w:r>
      <w:proofErr w:type="spellStart"/>
      <w:r w:rsidRPr="00E346CB">
        <w:t>Bodie</w:t>
      </w:r>
      <w:proofErr w:type="spellEnd"/>
      <w:r>
        <w:t xml:space="preserve">, Alex Kane, and Alan J. Marcus, Chapter </w:t>
      </w:r>
      <w:r>
        <w:t>8</w:t>
      </w:r>
      <w:r>
        <w:t xml:space="preserve"> p. </w:t>
      </w:r>
      <w:r>
        <w:t>242</w:t>
      </w:r>
      <w:r w:rsidR="000714C9">
        <w:t xml:space="preserve"> &amp; p. 257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A129E"/>
    <w:multiLevelType w:val="hybridMultilevel"/>
    <w:tmpl w:val="E77E7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CB"/>
    <w:rsid w:val="000714C9"/>
    <w:rsid w:val="000F6401"/>
    <w:rsid w:val="00133BBB"/>
    <w:rsid w:val="001619CE"/>
    <w:rsid w:val="001F4B4E"/>
    <w:rsid w:val="002371D3"/>
    <w:rsid w:val="00267A1A"/>
    <w:rsid w:val="0028630B"/>
    <w:rsid w:val="002A2963"/>
    <w:rsid w:val="002D2E72"/>
    <w:rsid w:val="002D3AB3"/>
    <w:rsid w:val="002E440E"/>
    <w:rsid w:val="0032219A"/>
    <w:rsid w:val="00324025"/>
    <w:rsid w:val="003B20A5"/>
    <w:rsid w:val="00420337"/>
    <w:rsid w:val="00442458"/>
    <w:rsid w:val="005271BD"/>
    <w:rsid w:val="00566231"/>
    <w:rsid w:val="00774030"/>
    <w:rsid w:val="00801A90"/>
    <w:rsid w:val="00861A80"/>
    <w:rsid w:val="008921D4"/>
    <w:rsid w:val="00893A40"/>
    <w:rsid w:val="008E717A"/>
    <w:rsid w:val="00913915"/>
    <w:rsid w:val="0093069E"/>
    <w:rsid w:val="009344C1"/>
    <w:rsid w:val="00950048"/>
    <w:rsid w:val="009F05BC"/>
    <w:rsid w:val="00AA0D78"/>
    <w:rsid w:val="00B851D6"/>
    <w:rsid w:val="00B97446"/>
    <w:rsid w:val="00C06EAA"/>
    <w:rsid w:val="00C3225D"/>
    <w:rsid w:val="00CA5BAB"/>
    <w:rsid w:val="00D11123"/>
    <w:rsid w:val="00D943B0"/>
    <w:rsid w:val="00DA1A8A"/>
    <w:rsid w:val="00E346CB"/>
    <w:rsid w:val="00E54C1C"/>
    <w:rsid w:val="00E7218B"/>
    <w:rsid w:val="00F23C74"/>
    <w:rsid w:val="00F56122"/>
    <w:rsid w:val="00F878A6"/>
    <w:rsid w:val="00FF34E3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346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46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46C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0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1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A8A"/>
  </w:style>
  <w:style w:type="paragraph" w:styleId="Footer">
    <w:name w:val="footer"/>
    <w:basedOn w:val="Normal"/>
    <w:link w:val="FooterChar"/>
    <w:uiPriority w:val="99"/>
    <w:unhideWhenUsed/>
    <w:rsid w:val="00DA1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A8A"/>
  </w:style>
  <w:style w:type="paragraph" w:styleId="ListParagraph">
    <w:name w:val="List Paragraph"/>
    <w:basedOn w:val="Normal"/>
    <w:uiPriority w:val="34"/>
    <w:qFormat/>
    <w:rsid w:val="00C32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346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46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46C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0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1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A8A"/>
  </w:style>
  <w:style w:type="paragraph" w:styleId="Footer">
    <w:name w:val="footer"/>
    <w:basedOn w:val="Normal"/>
    <w:link w:val="FooterChar"/>
    <w:uiPriority w:val="99"/>
    <w:unhideWhenUsed/>
    <w:rsid w:val="00DA1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A8A"/>
  </w:style>
  <w:style w:type="paragraph" w:styleId="ListParagraph">
    <w:name w:val="List Paragraph"/>
    <w:basedOn w:val="Normal"/>
    <w:uiPriority w:val="34"/>
    <w:qFormat/>
    <w:rsid w:val="00C32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1D869-34BF-4AF8-A1F8-75ECA718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3846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Babson College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2013-10-15T15:48:00Z</cp:lastPrinted>
  <dcterms:created xsi:type="dcterms:W3CDTF">2013-10-11T19:09:00Z</dcterms:created>
  <dcterms:modified xsi:type="dcterms:W3CDTF">2013-10-15T21:55:00Z</dcterms:modified>
</cp:coreProperties>
</file>